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322D25DC"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D4735B">
        <w:rPr>
          <w:rFonts w:ascii="Eras Bold ITC" w:eastAsia="DFKai-SB" w:hAnsi="Eras Bold ITC"/>
          <w:b/>
          <w:sz w:val="28"/>
          <w:szCs w:val="28"/>
        </w:rPr>
        <w:t>2</w:t>
      </w:r>
      <w:r w:rsidR="003B21A3">
        <w:rPr>
          <w:rFonts w:ascii="Eras Bold ITC" w:eastAsia="DFKai-SB" w:hAnsi="Eras Bold ITC"/>
          <w:b/>
          <w:sz w:val="28"/>
          <w:szCs w:val="28"/>
        </w:rPr>
        <w:t xml:space="preserve">3 FEBRUARY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718F2166" w14:textId="77777777" w:rsidR="00DE7453" w:rsidRPr="006E3D9E" w:rsidRDefault="0065416E" w:rsidP="00CB6E47">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1B013D7E" w14:textId="77777777" w:rsidR="006E3D9E" w:rsidRPr="00BD2995" w:rsidRDefault="006E3D9E" w:rsidP="006E3D9E">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606"/>
        <w:gridCol w:w="2897"/>
        <w:gridCol w:w="3948"/>
      </w:tblGrid>
      <w:tr w:rsidR="00E30A5B" w:rsidRPr="003F0C2D" w14:paraId="6849AD23" w14:textId="77777777" w:rsidTr="00E30A5B">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lastRenderedPageBreak/>
              <w:t>NO:</w:t>
            </w:r>
          </w:p>
        </w:tc>
        <w:tc>
          <w:tcPr>
            <w:tcW w:w="2946"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lastRenderedPageBreak/>
              <w:t>DEFENDANT</w:t>
            </w:r>
          </w:p>
        </w:tc>
        <w:tc>
          <w:tcPr>
            <w:tcW w:w="3183"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lastRenderedPageBreak/>
              <w:t>ADDRESS</w:t>
            </w:r>
          </w:p>
        </w:tc>
        <w:tc>
          <w:tcPr>
            <w:tcW w:w="4320"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lastRenderedPageBreak/>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750E43" w14:paraId="4B18BAF0" w14:textId="77777777" w:rsidTr="00E30A5B">
        <w:trPr>
          <w:trHeight w:val="134"/>
        </w:trPr>
        <w:tc>
          <w:tcPr>
            <w:tcW w:w="738" w:type="dxa"/>
          </w:tcPr>
          <w:p w14:paraId="6D8408C7" w14:textId="77777777" w:rsidR="00E30A5B" w:rsidRPr="003B21A3" w:rsidRDefault="00E30A5B" w:rsidP="003A401D">
            <w:pPr>
              <w:rPr>
                <w:rFonts w:ascii="Arial" w:hAnsi="Arial" w:cs="Arial"/>
                <w:sz w:val="22"/>
                <w:szCs w:val="22"/>
              </w:rPr>
            </w:pPr>
          </w:p>
          <w:p w14:paraId="7D51BE2A" w14:textId="77777777" w:rsidR="00E30A5B" w:rsidRPr="003B21A3" w:rsidRDefault="00A23075" w:rsidP="003A401D">
            <w:pPr>
              <w:rPr>
                <w:rFonts w:ascii="Arial" w:hAnsi="Arial" w:cs="Arial"/>
                <w:sz w:val="22"/>
                <w:szCs w:val="22"/>
              </w:rPr>
            </w:pPr>
            <w:r w:rsidRPr="003B21A3">
              <w:rPr>
                <w:rFonts w:ascii="Arial" w:hAnsi="Arial" w:cs="Arial"/>
                <w:sz w:val="22"/>
                <w:szCs w:val="22"/>
              </w:rPr>
              <w:t>1</w:t>
            </w:r>
          </w:p>
        </w:tc>
        <w:tc>
          <w:tcPr>
            <w:tcW w:w="2946" w:type="dxa"/>
          </w:tcPr>
          <w:p w14:paraId="43F94579" w14:textId="77777777" w:rsidR="00E30A5B" w:rsidRPr="003B21A3" w:rsidRDefault="00E30A5B" w:rsidP="003A401D">
            <w:pPr>
              <w:rPr>
                <w:rFonts w:ascii="Arial" w:hAnsi="Arial" w:cs="Arial"/>
                <w:i/>
                <w:sz w:val="22"/>
                <w:szCs w:val="22"/>
              </w:rPr>
            </w:pPr>
          </w:p>
          <w:p w14:paraId="7C864C59" w14:textId="7548A4C9" w:rsidR="00A62200" w:rsidRPr="003B21A3" w:rsidRDefault="002E4966" w:rsidP="002E4966">
            <w:pPr>
              <w:jc w:val="center"/>
              <w:rPr>
                <w:rFonts w:ascii="Arial" w:hAnsi="Arial" w:cs="Arial"/>
                <w:i/>
                <w:sz w:val="22"/>
                <w:szCs w:val="22"/>
              </w:rPr>
            </w:pPr>
            <w:r>
              <w:rPr>
                <w:rFonts w:ascii="Arial" w:hAnsi="Arial" w:cs="Arial"/>
                <w:i/>
                <w:noProof/>
                <w:sz w:val="22"/>
                <w:szCs w:val="22"/>
                <w:lang w:val="en-US"/>
              </w:rPr>
              <w:drawing>
                <wp:inline distT="0" distB="0" distL="0" distR="0" wp14:anchorId="7EE697F2" wp14:editId="15182C4C">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gle cany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183" w:type="dxa"/>
          </w:tcPr>
          <w:p w14:paraId="472BFF46" w14:textId="77777777" w:rsidR="00E30A5B" w:rsidRPr="003B21A3" w:rsidRDefault="00E30A5B" w:rsidP="003A401D">
            <w:pPr>
              <w:rPr>
                <w:rFonts w:ascii="Arial" w:hAnsi="Arial" w:cs="Arial"/>
                <w:sz w:val="22"/>
                <w:szCs w:val="22"/>
              </w:rPr>
            </w:pPr>
          </w:p>
          <w:p w14:paraId="7DECED87" w14:textId="1EBFAF88" w:rsidR="000A60A4" w:rsidRPr="003B21A3" w:rsidRDefault="003B21A3" w:rsidP="000A7046">
            <w:pPr>
              <w:rPr>
                <w:rFonts w:ascii="Arial" w:hAnsi="Arial" w:cs="Arial"/>
                <w:sz w:val="22"/>
                <w:szCs w:val="22"/>
              </w:rPr>
            </w:pPr>
            <w:r>
              <w:rPr>
                <w:rFonts w:ascii="Arial" w:hAnsi="Arial" w:cs="Arial"/>
                <w:sz w:val="22"/>
                <w:szCs w:val="22"/>
              </w:rPr>
              <w:t>Sect 8 Fish Eagle, Eagle Canyon Golf Estate, Blueberry Street, Honeydew Manor</w:t>
            </w:r>
          </w:p>
          <w:p w14:paraId="056150BA" w14:textId="77777777" w:rsidR="00E30A5B" w:rsidRPr="003B21A3" w:rsidRDefault="00E30A5B" w:rsidP="000A7046">
            <w:pPr>
              <w:rPr>
                <w:rFonts w:ascii="Arial" w:hAnsi="Arial" w:cs="Arial"/>
                <w:sz w:val="22"/>
                <w:szCs w:val="22"/>
              </w:rPr>
            </w:pPr>
          </w:p>
        </w:tc>
        <w:tc>
          <w:tcPr>
            <w:tcW w:w="4320" w:type="dxa"/>
          </w:tcPr>
          <w:p w14:paraId="0162ACA4" w14:textId="77777777" w:rsidR="00E30A5B" w:rsidRPr="003B21A3" w:rsidRDefault="00E30A5B" w:rsidP="003A401D">
            <w:pPr>
              <w:rPr>
                <w:rFonts w:ascii="Arial" w:hAnsi="Arial" w:cs="Arial"/>
                <w:sz w:val="22"/>
                <w:szCs w:val="22"/>
              </w:rPr>
            </w:pPr>
          </w:p>
          <w:p w14:paraId="4185C47A" w14:textId="7E5828EB" w:rsidR="00E30A5B" w:rsidRPr="003B21A3" w:rsidRDefault="00630C5D" w:rsidP="003A401D">
            <w:pPr>
              <w:rPr>
                <w:rFonts w:ascii="Arial" w:hAnsi="Arial" w:cs="Arial"/>
                <w:sz w:val="22"/>
                <w:szCs w:val="22"/>
              </w:rPr>
            </w:pPr>
            <w:r w:rsidRPr="003B21A3">
              <w:rPr>
                <w:rFonts w:ascii="Arial" w:hAnsi="Arial" w:cs="Arial"/>
                <w:sz w:val="22"/>
                <w:szCs w:val="22"/>
              </w:rPr>
              <w:t xml:space="preserve">Lounge, </w:t>
            </w:r>
            <w:r w:rsidR="00A62200" w:rsidRPr="003B21A3">
              <w:rPr>
                <w:rFonts w:ascii="Arial" w:hAnsi="Arial" w:cs="Arial"/>
                <w:sz w:val="22"/>
                <w:szCs w:val="22"/>
              </w:rPr>
              <w:t xml:space="preserve">Family Room, </w:t>
            </w:r>
            <w:r w:rsidR="003B21A3">
              <w:rPr>
                <w:rFonts w:ascii="Arial" w:hAnsi="Arial" w:cs="Arial"/>
                <w:sz w:val="22"/>
                <w:szCs w:val="22"/>
              </w:rPr>
              <w:t>3</w:t>
            </w:r>
            <w:r w:rsidR="00A62200" w:rsidRPr="003B21A3">
              <w:rPr>
                <w:rFonts w:ascii="Arial" w:hAnsi="Arial" w:cs="Arial"/>
                <w:sz w:val="22"/>
                <w:szCs w:val="22"/>
              </w:rPr>
              <w:t xml:space="preserve"> Bedrooms, </w:t>
            </w:r>
            <w:r w:rsidR="003B21A3">
              <w:rPr>
                <w:rFonts w:ascii="Arial" w:hAnsi="Arial" w:cs="Arial"/>
                <w:sz w:val="22"/>
                <w:szCs w:val="22"/>
              </w:rPr>
              <w:t>2</w:t>
            </w:r>
            <w:r w:rsidR="00A62200" w:rsidRPr="003B21A3">
              <w:rPr>
                <w:rFonts w:ascii="Arial" w:hAnsi="Arial" w:cs="Arial"/>
                <w:sz w:val="22"/>
                <w:szCs w:val="22"/>
              </w:rPr>
              <w:t xml:space="preserve"> Bathrooms, Kitchen, </w:t>
            </w:r>
            <w:r w:rsidR="003B21A3">
              <w:rPr>
                <w:rFonts w:ascii="Arial" w:hAnsi="Arial" w:cs="Arial"/>
                <w:sz w:val="22"/>
                <w:szCs w:val="22"/>
              </w:rPr>
              <w:t>2</w:t>
            </w:r>
            <w:r w:rsidR="00A62200" w:rsidRPr="003B21A3">
              <w:rPr>
                <w:rFonts w:ascii="Arial" w:hAnsi="Arial" w:cs="Arial"/>
                <w:sz w:val="22"/>
                <w:szCs w:val="22"/>
              </w:rPr>
              <w:t xml:space="preserve"> Garages. 1</w:t>
            </w:r>
            <w:r w:rsidR="003B21A3">
              <w:rPr>
                <w:rFonts w:ascii="Arial" w:hAnsi="Arial" w:cs="Arial"/>
                <w:sz w:val="22"/>
                <w:szCs w:val="22"/>
              </w:rPr>
              <w:t>65</w:t>
            </w:r>
            <w:r w:rsidR="00D17FB8" w:rsidRPr="003B21A3">
              <w:rPr>
                <w:rFonts w:ascii="Arial" w:hAnsi="Arial" w:cs="Arial"/>
                <w:sz w:val="22"/>
                <w:szCs w:val="22"/>
              </w:rPr>
              <w:t>m².</w:t>
            </w:r>
          </w:p>
          <w:p w14:paraId="5B680B24" w14:textId="77777777" w:rsidR="003152CE" w:rsidRDefault="003152CE" w:rsidP="003A401D">
            <w:pPr>
              <w:rPr>
                <w:rFonts w:ascii="Arial" w:hAnsi="Arial" w:cs="Arial"/>
                <w:sz w:val="22"/>
                <w:szCs w:val="22"/>
              </w:rPr>
            </w:pPr>
          </w:p>
          <w:p w14:paraId="4180525F" w14:textId="77777777" w:rsidR="002E4966" w:rsidRDefault="002E4966" w:rsidP="003A401D">
            <w:pPr>
              <w:rPr>
                <w:rFonts w:ascii="Arial" w:hAnsi="Arial" w:cs="Arial"/>
                <w:sz w:val="22"/>
                <w:szCs w:val="22"/>
              </w:rPr>
            </w:pPr>
          </w:p>
          <w:p w14:paraId="72E4EEBC" w14:textId="77777777" w:rsidR="002E4966" w:rsidRDefault="002E4966" w:rsidP="003A401D">
            <w:pPr>
              <w:rPr>
                <w:rFonts w:ascii="Arial" w:hAnsi="Arial" w:cs="Arial"/>
                <w:sz w:val="22"/>
                <w:szCs w:val="22"/>
              </w:rPr>
            </w:pPr>
          </w:p>
          <w:p w14:paraId="53A79589" w14:textId="77777777" w:rsidR="002E4966" w:rsidRDefault="002E4966" w:rsidP="003A401D">
            <w:pPr>
              <w:rPr>
                <w:rFonts w:ascii="Arial" w:hAnsi="Arial" w:cs="Arial"/>
                <w:sz w:val="22"/>
                <w:szCs w:val="22"/>
              </w:rPr>
            </w:pPr>
          </w:p>
          <w:p w14:paraId="5F2090B2" w14:textId="77777777" w:rsidR="002E4966" w:rsidRDefault="002E4966" w:rsidP="003A401D">
            <w:pPr>
              <w:rPr>
                <w:rFonts w:ascii="Arial" w:hAnsi="Arial" w:cs="Arial"/>
                <w:sz w:val="22"/>
                <w:szCs w:val="22"/>
              </w:rPr>
            </w:pPr>
          </w:p>
          <w:p w14:paraId="0587F042" w14:textId="77777777" w:rsidR="002E4966" w:rsidRPr="003B21A3" w:rsidRDefault="002E4966" w:rsidP="003A401D">
            <w:pPr>
              <w:rPr>
                <w:rFonts w:ascii="Arial" w:hAnsi="Arial" w:cs="Arial"/>
                <w:sz w:val="22"/>
                <w:szCs w:val="22"/>
              </w:rPr>
            </w:pPr>
          </w:p>
        </w:tc>
      </w:tr>
      <w:tr w:rsidR="00E30A5B" w:rsidRPr="001F4B39" w14:paraId="4D7687FB" w14:textId="77777777" w:rsidTr="00E30A5B">
        <w:trPr>
          <w:trHeight w:val="134"/>
        </w:trPr>
        <w:tc>
          <w:tcPr>
            <w:tcW w:w="738" w:type="dxa"/>
          </w:tcPr>
          <w:p w14:paraId="0EC8746A" w14:textId="77777777" w:rsidR="00E30A5B" w:rsidRPr="006A3634" w:rsidRDefault="00E30A5B" w:rsidP="003A401D">
            <w:pPr>
              <w:rPr>
                <w:rFonts w:ascii="Arial" w:hAnsi="Arial" w:cs="Arial"/>
                <w:sz w:val="22"/>
                <w:szCs w:val="22"/>
              </w:rPr>
            </w:pPr>
          </w:p>
          <w:p w14:paraId="3B26B736" w14:textId="77777777" w:rsidR="00E30A5B" w:rsidRPr="006A3634" w:rsidRDefault="00E30A5B" w:rsidP="003A401D">
            <w:pPr>
              <w:rPr>
                <w:rFonts w:ascii="Arial" w:hAnsi="Arial" w:cs="Arial"/>
                <w:sz w:val="22"/>
                <w:szCs w:val="22"/>
              </w:rPr>
            </w:pPr>
            <w:r w:rsidRPr="006A3634">
              <w:rPr>
                <w:rFonts w:ascii="Arial" w:hAnsi="Arial" w:cs="Arial"/>
                <w:sz w:val="22"/>
                <w:szCs w:val="22"/>
              </w:rPr>
              <w:t>2.</w:t>
            </w:r>
          </w:p>
        </w:tc>
        <w:tc>
          <w:tcPr>
            <w:tcW w:w="2946" w:type="dxa"/>
          </w:tcPr>
          <w:p w14:paraId="574F6F01" w14:textId="77777777" w:rsidR="00E30A5B" w:rsidRPr="006A3634" w:rsidRDefault="00E30A5B" w:rsidP="003A401D">
            <w:pPr>
              <w:rPr>
                <w:rFonts w:ascii="Arial" w:hAnsi="Arial" w:cs="Arial"/>
                <w:sz w:val="22"/>
                <w:szCs w:val="22"/>
              </w:rPr>
            </w:pPr>
          </w:p>
          <w:p w14:paraId="680768C7" w14:textId="6F505C9E" w:rsidR="00A62200" w:rsidRPr="006A3634" w:rsidRDefault="006A050B" w:rsidP="002E4966">
            <w:pPr>
              <w:jc w:val="center"/>
              <w:rPr>
                <w:rFonts w:ascii="Arial" w:hAnsi="Arial" w:cs="Arial"/>
                <w:sz w:val="22"/>
                <w:szCs w:val="22"/>
              </w:rPr>
            </w:pPr>
            <w:r>
              <w:rPr>
                <w:rFonts w:ascii="Arial" w:hAnsi="Arial" w:cs="Arial"/>
                <w:noProof/>
                <w:sz w:val="22"/>
                <w:szCs w:val="22"/>
                <w:lang w:val="en-US"/>
              </w:rPr>
              <w:drawing>
                <wp:inline distT="0" distB="0" distL="0" distR="0" wp14:anchorId="78FE134E" wp14:editId="59203A85">
                  <wp:extent cx="2152800" cy="1080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ristiaan-de-wet-4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2800" cy="1080000"/>
                          </a:xfrm>
                          <a:prstGeom prst="rect">
                            <a:avLst/>
                          </a:prstGeom>
                        </pic:spPr>
                      </pic:pic>
                    </a:graphicData>
                  </a:graphic>
                </wp:inline>
              </w:drawing>
            </w:r>
          </w:p>
        </w:tc>
        <w:tc>
          <w:tcPr>
            <w:tcW w:w="3183" w:type="dxa"/>
          </w:tcPr>
          <w:p w14:paraId="7F4B87C2" w14:textId="77777777" w:rsidR="00E30A5B" w:rsidRPr="006A3634" w:rsidRDefault="00E30A5B" w:rsidP="003A401D">
            <w:pPr>
              <w:rPr>
                <w:rFonts w:ascii="Arial" w:hAnsi="Arial" w:cs="Arial"/>
                <w:sz w:val="22"/>
                <w:szCs w:val="22"/>
              </w:rPr>
            </w:pPr>
          </w:p>
          <w:p w14:paraId="0C6DCC4A" w14:textId="77777777" w:rsidR="00CC7EAA" w:rsidRDefault="00CC7EAA" w:rsidP="00E44CFD">
            <w:pPr>
              <w:rPr>
                <w:rFonts w:ascii="Arial" w:hAnsi="Arial" w:cs="Arial"/>
                <w:sz w:val="22"/>
                <w:szCs w:val="22"/>
              </w:rPr>
            </w:pPr>
            <w:r>
              <w:rPr>
                <w:rFonts w:ascii="Arial" w:hAnsi="Arial" w:cs="Arial"/>
                <w:sz w:val="22"/>
                <w:szCs w:val="22"/>
              </w:rPr>
              <w:t>Erf 190 &amp; 192 Selwyn</w:t>
            </w:r>
          </w:p>
          <w:p w14:paraId="0FA42C25" w14:textId="3F9622D1" w:rsidR="00EB49E0" w:rsidRPr="006A3634" w:rsidRDefault="00CC7EAA" w:rsidP="00E44CFD">
            <w:pPr>
              <w:rPr>
                <w:rFonts w:ascii="Arial" w:hAnsi="Arial" w:cs="Arial"/>
                <w:sz w:val="22"/>
                <w:szCs w:val="22"/>
              </w:rPr>
            </w:pPr>
            <w:r>
              <w:rPr>
                <w:rFonts w:ascii="Arial" w:hAnsi="Arial" w:cs="Arial"/>
                <w:sz w:val="22"/>
                <w:szCs w:val="22"/>
              </w:rPr>
              <w:t>48 Christiaan De Wet Road</w:t>
            </w:r>
          </w:p>
          <w:p w14:paraId="283E34ED" w14:textId="77777777" w:rsidR="00282E61" w:rsidRPr="006A3634" w:rsidRDefault="00282E61" w:rsidP="00E44CFD">
            <w:pPr>
              <w:rPr>
                <w:rFonts w:ascii="Arial" w:hAnsi="Arial" w:cs="Arial"/>
                <w:sz w:val="22"/>
                <w:szCs w:val="22"/>
              </w:rPr>
            </w:pPr>
          </w:p>
        </w:tc>
        <w:tc>
          <w:tcPr>
            <w:tcW w:w="4320" w:type="dxa"/>
          </w:tcPr>
          <w:p w14:paraId="75812563" w14:textId="77777777" w:rsidR="00E30A5B" w:rsidRPr="006A3634" w:rsidRDefault="00E30A5B" w:rsidP="003A401D">
            <w:pPr>
              <w:rPr>
                <w:rFonts w:ascii="Arial" w:hAnsi="Arial" w:cs="Arial"/>
                <w:sz w:val="22"/>
                <w:szCs w:val="22"/>
              </w:rPr>
            </w:pPr>
          </w:p>
          <w:p w14:paraId="76843721" w14:textId="6744CD3A" w:rsidR="00E30A5B" w:rsidRDefault="00CC7EAA" w:rsidP="003A401D">
            <w:pPr>
              <w:rPr>
                <w:rFonts w:ascii="Arial" w:hAnsi="Arial" w:cs="Arial"/>
                <w:sz w:val="22"/>
                <w:szCs w:val="22"/>
              </w:rPr>
            </w:pPr>
            <w:r>
              <w:rPr>
                <w:rFonts w:ascii="Arial" w:hAnsi="Arial" w:cs="Arial"/>
                <w:sz w:val="22"/>
                <w:szCs w:val="22"/>
              </w:rPr>
              <w:t>Various offices, Kitchen, Bathroom, Carport &amp; Lapa.</w:t>
            </w:r>
            <w:r w:rsidR="007930D8" w:rsidRPr="006A3634">
              <w:rPr>
                <w:rFonts w:ascii="Arial" w:hAnsi="Arial" w:cs="Arial"/>
                <w:sz w:val="22"/>
                <w:szCs w:val="22"/>
              </w:rPr>
              <w:t xml:space="preserve">. </w:t>
            </w:r>
            <w:r>
              <w:rPr>
                <w:rFonts w:ascii="Arial" w:hAnsi="Arial" w:cs="Arial"/>
                <w:sz w:val="22"/>
                <w:szCs w:val="22"/>
              </w:rPr>
              <w:t>1262</w:t>
            </w:r>
            <w:r w:rsidR="007930D8" w:rsidRPr="006A3634">
              <w:rPr>
                <w:rFonts w:ascii="Arial" w:hAnsi="Arial" w:cs="Arial"/>
                <w:sz w:val="22"/>
                <w:szCs w:val="22"/>
              </w:rPr>
              <w:t>m²</w:t>
            </w:r>
            <w:r>
              <w:rPr>
                <w:rFonts w:ascii="Arial" w:hAnsi="Arial" w:cs="Arial"/>
                <w:sz w:val="22"/>
                <w:szCs w:val="22"/>
              </w:rPr>
              <w:t xml:space="preserve"> and 1347m²</w:t>
            </w:r>
          </w:p>
          <w:p w14:paraId="7F5BD407" w14:textId="77777777" w:rsidR="002E4966" w:rsidRDefault="002E4966" w:rsidP="003A401D">
            <w:pPr>
              <w:rPr>
                <w:rFonts w:ascii="Arial" w:hAnsi="Arial" w:cs="Arial"/>
                <w:sz w:val="22"/>
                <w:szCs w:val="22"/>
              </w:rPr>
            </w:pPr>
          </w:p>
          <w:p w14:paraId="00E208CF" w14:textId="77777777" w:rsidR="002E4966" w:rsidRDefault="002E4966" w:rsidP="003A401D">
            <w:pPr>
              <w:rPr>
                <w:rFonts w:ascii="Arial" w:hAnsi="Arial" w:cs="Arial"/>
                <w:sz w:val="22"/>
                <w:szCs w:val="22"/>
              </w:rPr>
            </w:pPr>
          </w:p>
          <w:p w14:paraId="7A788ED7" w14:textId="77777777" w:rsidR="002E4966" w:rsidRDefault="002E4966" w:rsidP="003A401D">
            <w:pPr>
              <w:rPr>
                <w:rFonts w:ascii="Arial" w:hAnsi="Arial" w:cs="Arial"/>
                <w:sz w:val="22"/>
                <w:szCs w:val="22"/>
              </w:rPr>
            </w:pPr>
          </w:p>
          <w:p w14:paraId="4471F401" w14:textId="77777777" w:rsidR="006A050B" w:rsidRDefault="006A050B" w:rsidP="003A401D">
            <w:pPr>
              <w:rPr>
                <w:rFonts w:ascii="Arial" w:hAnsi="Arial" w:cs="Arial"/>
                <w:sz w:val="22"/>
                <w:szCs w:val="22"/>
              </w:rPr>
            </w:pPr>
          </w:p>
          <w:p w14:paraId="7E0CBD4C" w14:textId="77777777" w:rsidR="002E4966" w:rsidRPr="006A3634" w:rsidRDefault="002E4966" w:rsidP="003A401D">
            <w:pPr>
              <w:rPr>
                <w:rFonts w:ascii="Arial" w:hAnsi="Arial" w:cs="Arial"/>
                <w:sz w:val="22"/>
                <w:szCs w:val="22"/>
              </w:rPr>
            </w:pPr>
          </w:p>
          <w:p w14:paraId="4943EA0B" w14:textId="75ACBE1E" w:rsidR="00A62200" w:rsidRPr="006A3634" w:rsidRDefault="00A62200" w:rsidP="003A401D">
            <w:pPr>
              <w:rPr>
                <w:rFonts w:ascii="Arial" w:hAnsi="Arial" w:cs="Arial"/>
                <w:sz w:val="22"/>
                <w:szCs w:val="22"/>
              </w:rPr>
            </w:pPr>
          </w:p>
        </w:tc>
      </w:tr>
      <w:tr w:rsidR="00E30A5B" w:rsidRPr="001F4B39" w14:paraId="346BFEDD" w14:textId="77777777" w:rsidTr="00E30A5B">
        <w:trPr>
          <w:trHeight w:val="134"/>
        </w:trPr>
        <w:tc>
          <w:tcPr>
            <w:tcW w:w="738" w:type="dxa"/>
          </w:tcPr>
          <w:p w14:paraId="574B75CF" w14:textId="77777777" w:rsidR="00E30A5B" w:rsidRPr="00A62200" w:rsidRDefault="00E30A5B" w:rsidP="003A401D">
            <w:pPr>
              <w:rPr>
                <w:rFonts w:ascii="Arial" w:hAnsi="Arial" w:cs="Arial"/>
                <w:sz w:val="22"/>
                <w:szCs w:val="22"/>
              </w:rPr>
            </w:pPr>
          </w:p>
          <w:p w14:paraId="04F366F0" w14:textId="77777777" w:rsidR="00E30A5B" w:rsidRPr="00A62200" w:rsidRDefault="00E30A5B" w:rsidP="003A401D">
            <w:pPr>
              <w:rPr>
                <w:rFonts w:ascii="Arial" w:hAnsi="Arial" w:cs="Arial"/>
                <w:sz w:val="22"/>
                <w:szCs w:val="22"/>
              </w:rPr>
            </w:pPr>
            <w:r w:rsidRPr="00A62200">
              <w:rPr>
                <w:rFonts w:ascii="Arial" w:hAnsi="Arial" w:cs="Arial"/>
                <w:sz w:val="22"/>
                <w:szCs w:val="22"/>
              </w:rPr>
              <w:t>3.</w:t>
            </w:r>
          </w:p>
          <w:p w14:paraId="08C0A569" w14:textId="77777777" w:rsidR="00E30A5B" w:rsidRPr="00A62200" w:rsidRDefault="00E30A5B" w:rsidP="003A401D">
            <w:pPr>
              <w:rPr>
                <w:rFonts w:ascii="Arial" w:hAnsi="Arial" w:cs="Arial"/>
                <w:sz w:val="22"/>
                <w:szCs w:val="22"/>
              </w:rPr>
            </w:pPr>
          </w:p>
          <w:p w14:paraId="619664AA" w14:textId="77777777" w:rsidR="00E30A5B" w:rsidRPr="00A62200" w:rsidRDefault="00E30A5B" w:rsidP="003A401D">
            <w:pPr>
              <w:rPr>
                <w:rFonts w:ascii="Arial" w:hAnsi="Arial" w:cs="Arial"/>
                <w:b/>
                <w:sz w:val="22"/>
                <w:szCs w:val="22"/>
              </w:rPr>
            </w:pPr>
          </w:p>
        </w:tc>
        <w:tc>
          <w:tcPr>
            <w:tcW w:w="2946" w:type="dxa"/>
          </w:tcPr>
          <w:p w14:paraId="61A0BE73" w14:textId="77777777" w:rsidR="00E30A5B" w:rsidRPr="00A62200" w:rsidRDefault="00E30A5B" w:rsidP="009C70EC">
            <w:pPr>
              <w:rPr>
                <w:rFonts w:ascii="Arial" w:hAnsi="Arial" w:cs="Arial"/>
                <w:sz w:val="22"/>
                <w:szCs w:val="22"/>
              </w:rPr>
            </w:pPr>
          </w:p>
          <w:p w14:paraId="7E469794" w14:textId="736EA2E0" w:rsidR="007930D8" w:rsidRPr="00A62200" w:rsidRDefault="002E4966" w:rsidP="002E4966">
            <w:pPr>
              <w:jc w:val="center"/>
              <w:rPr>
                <w:rFonts w:ascii="Arial" w:hAnsi="Arial" w:cs="Arial"/>
                <w:sz w:val="22"/>
                <w:szCs w:val="22"/>
              </w:rPr>
            </w:pPr>
            <w:r>
              <w:rPr>
                <w:rFonts w:ascii="Arial" w:hAnsi="Arial" w:cs="Arial"/>
                <w:noProof/>
                <w:sz w:val="22"/>
                <w:szCs w:val="22"/>
                <w:lang w:val="en-US"/>
              </w:rPr>
              <w:drawing>
                <wp:inline distT="0" distB="0" distL="0" distR="0" wp14:anchorId="766B7025" wp14:editId="58117E97">
                  <wp:extent cx="1825200" cy="10800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lentyn-67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183" w:type="dxa"/>
          </w:tcPr>
          <w:p w14:paraId="753208E4" w14:textId="77777777" w:rsidR="00E30A5B" w:rsidRPr="00A62200" w:rsidRDefault="00E30A5B" w:rsidP="009C70EC">
            <w:pPr>
              <w:rPr>
                <w:rFonts w:ascii="Arial" w:hAnsi="Arial" w:cs="Arial"/>
                <w:sz w:val="22"/>
                <w:szCs w:val="22"/>
              </w:rPr>
            </w:pPr>
          </w:p>
          <w:p w14:paraId="7D15D95E" w14:textId="77777777" w:rsidR="00CC7EAA" w:rsidRDefault="00CC7EAA" w:rsidP="00F720F1">
            <w:pPr>
              <w:rPr>
                <w:rFonts w:ascii="Arial" w:hAnsi="Arial" w:cs="Arial"/>
                <w:sz w:val="22"/>
                <w:szCs w:val="22"/>
              </w:rPr>
            </w:pPr>
            <w:r>
              <w:rPr>
                <w:rFonts w:ascii="Arial" w:hAnsi="Arial" w:cs="Arial"/>
                <w:sz w:val="22"/>
                <w:szCs w:val="22"/>
              </w:rPr>
              <w:t>Erf 1123 Lindhaven ext 4</w:t>
            </w:r>
          </w:p>
          <w:p w14:paraId="68F39DF1" w14:textId="47F8AF21" w:rsidR="00B9046E" w:rsidRPr="00A62200" w:rsidRDefault="00CC7EAA" w:rsidP="00F720F1">
            <w:pPr>
              <w:rPr>
                <w:rFonts w:ascii="Arial" w:hAnsi="Arial" w:cs="Arial"/>
                <w:sz w:val="22"/>
                <w:szCs w:val="22"/>
              </w:rPr>
            </w:pPr>
            <w:r>
              <w:rPr>
                <w:rFonts w:ascii="Arial" w:hAnsi="Arial" w:cs="Arial"/>
                <w:sz w:val="22"/>
                <w:szCs w:val="22"/>
              </w:rPr>
              <w:t xml:space="preserve">676 Valentyn Street     </w:t>
            </w:r>
            <w:r w:rsidR="00630C5D" w:rsidRPr="00A62200">
              <w:rPr>
                <w:rFonts w:ascii="Arial" w:hAnsi="Arial" w:cs="Arial"/>
                <w:sz w:val="22"/>
                <w:szCs w:val="22"/>
              </w:rPr>
              <w:t xml:space="preserve">      </w:t>
            </w:r>
            <w:r w:rsidR="00C27875" w:rsidRPr="00A62200">
              <w:rPr>
                <w:rFonts w:ascii="Arial" w:hAnsi="Arial" w:cs="Arial"/>
                <w:sz w:val="22"/>
                <w:szCs w:val="22"/>
              </w:rPr>
              <w:t xml:space="preserve"> </w:t>
            </w:r>
            <w:r w:rsidR="00DA6B1C" w:rsidRPr="00A62200">
              <w:rPr>
                <w:rFonts w:ascii="Arial" w:hAnsi="Arial" w:cs="Arial"/>
                <w:sz w:val="22"/>
                <w:szCs w:val="22"/>
              </w:rPr>
              <w:t xml:space="preserve"> </w:t>
            </w:r>
            <w:r w:rsidR="00630C5D" w:rsidRPr="00A62200">
              <w:rPr>
                <w:rFonts w:ascii="Arial" w:hAnsi="Arial" w:cs="Arial"/>
                <w:sz w:val="22"/>
                <w:szCs w:val="22"/>
              </w:rPr>
              <w:t xml:space="preserve">        </w:t>
            </w:r>
          </w:p>
        </w:tc>
        <w:tc>
          <w:tcPr>
            <w:tcW w:w="4320" w:type="dxa"/>
            <w:shd w:val="clear" w:color="auto" w:fill="auto"/>
          </w:tcPr>
          <w:p w14:paraId="64FF1E6F" w14:textId="77777777" w:rsidR="00E30A5B" w:rsidRPr="00A62200" w:rsidRDefault="00E30A5B" w:rsidP="003A401D">
            <w:pPr>
              <w:rPr>
                <w:rFonts w:ascii="Arial" w:hAnsi="Arial" w:cs="Arial"/>
                <w:sz w:val="22"/>
                <w:szCs w:val="22"/>
              </w:rPr>
            </w:pPr>
          </w:p>
          <w:p w14:paraId="2A3F7A24" w14:textId="007A0EE7" w:rsidR="00D11725" w:rsidRPr="00A62200" w:rsidRDefault="00496842" w:rsidP="003A401D">
            <w:pPr>
              <w:rPr>
                <w:rFonts w:ascii="Arial" w:hAnsi="Arial" w:cs="Arial"/>
                <w:sz w:val="22"/>
                <w:szCs w:val="22"/>
              </w:rPr>
            </w:pPr>
            <w:r w:rsidRPr="00A62200">
              <w:rPr>
                <w:rFonts w:ascii="Arial" w:hAnsi="Arial" w:cs="Arial"/>
                <w:sz w:val="22"/>
                <w:szCs w:val="22"/>
              </w:rPr>
              <w:t xml:space="preserve">Lounge, </w:t>
            </w:r>
            <w:r w:rsidR="00CC7EAA">
              <w:rPr>
                <w:rFonts w:ascii="Arial" w:hAnsi="Arial" w:cs="Arial"/>
                <w:sz w:val="22"/>
                <w:szCs w:val="22"/>
              </w:rPr>
              <w:t xml:space="preserve">Family Room, 2 </w:t>
            </w:r>
            <w:r w:rsidR="007930D8" w:rsidRPr="00A62200">
              <w:rPr>
                <w:rFonts w:ascii="Arial" w:hAnsi="Arial" w:cs="Arial"/>
                <w:sz w:val="22"/>
                <w:szCs w:val="22"/>
              </w:rPr>
              <w:t>Bathroom</w:t>
            </w:r>
            <w:r w:rsidR="00CC7EAA">
              <w:rPr>
                <w:rFonts w:ascii="Arial" w:hAnsi="Arial" w:cs="Arial"/>
                <w:sz w:val="22"/>
                <w:szCs w:val="22"/>
              </w:rPr>
              <w:t>s</w:t>
            </w:r>
            <w:r w:rsidR="007930D8" w:rsidRPr="00A62200">
              <w:rPr>
                <w:rFonts w:ascii="Arial" w:hAnsi="Arial" w:cs="Arial"/>
                <w:sz w:val="22"/>
                <w:szCs w:val="22"/>
              </w:rPr>
              <w:t xml:space="preserve">, </w:t>
            </w:r>
            <w:r w:rsidR="006A3634" w:rsidRPr="00A62200">
              <w:rPr>
                <w:rFonts w:ascii="Arial" w:hAnsi="Arial" w:cs="Arial"/>
                <w:sz w:val="22"/>
                <w:szCs w:val="22"/>
              </w:rPr>
              <w:t>2</w:t>
            </w:r>
            <w:r w:rsidR="007930D8" w:rsidRPr="00A62200">
              <w:rPr>
                <w:rFonts w:ascii="Arial" w:hAnsi="Arial" w:cs="Arial"/>
                <w:sz w:val="22"/>
                <w:szCs w:val="22"/>
              </w:rPr>
              <w:t xml:space="preserve"> Bedrooms, Kitchen</w:t>
            </w:r>
            <w:r w:rsidR="006A3634" w:rsidRPr="00A62200">
              <w:rPr>
                <w:rFonts w:ascii="Arial" w:hAnsi="Arial" w:cs="Arial"/>
                <w:sz w:val="22"/>
                <w:szCs w:val="22"/>
              </w:rPr>
              <w:t xml:space="preserve">, </w:t>
            </w:r>
            <w:r w:rsidR="00CC7EAA">
              <w:rPr>
                <w:rFonts w:ascii="Arial" w:hAnsi="Arial" w:cs="Arial"/>
                <w:sz w:val="22"/>
                <w:szCs w:val="22"/>
              </w:rPr>
              <w:t>Store Room, 2 Garages. 801</w:t>
            </w:r>
            <w:r w:rsidR="001C410C" w:rsidRPr="00A62200">
              <w:rPr>
                <w:rFonts w:ascii="Arial" w:hAnsi="Arial" w:cs="Arial"/>
                <w:sz w:val="22"/>
                <w:szCs w:val="22"/>
              </w:rPr>
              <w:t>m².</w:t>
            </w:r>
          </w:p>
          <w:p w14:paraId="32324A5D" w14:textId="77777777" w:rsidR="00E92209" w:rsidRDefault="00E92209" w:rsidP="003A401D">
            <w:pPr>
              <w:rPr>
                <w:rFonts w:ascii="Arial" w:hAnsi="Arial" w:cs="Arial"/>
                <w:sz w:val="22"/>
                <w:szCs w:val="22"/>
              </w:rPr>
            </w:pPr>
          </w:p>
          <w:p w14:paraId="4E5B8DA7" w14:textId="77777777" w:rsidR="002E4966" w:rsidRDefault="002E4966" w:rsidP="003A401D">
            <w:pPr>
              <w:rPr>
                <w:rFonts w:ascii="Arial" w:hAnsi="Arial" w:cs="Arial"/>
                <w:sz w:val="22"/>
                <w:szCs w:val="22"/>
              </w:rPr>
            </w:pPr>
          </w:p>
          <w:p w14:paraId="29561E87" w14:textId="77777777" w:rsidR="002E4966" w:rsidRDefault="002E4966" w:rsidP="003A401D">
            <w:pPr>
              <w:rPr>
                <w:rFonts w:ascii="Arial" w:hAnsi="Arial" w:cs="Arial"/>
                <w:sz w:val="22"/>
                <w:szCs w:val="22"/>
              </w:rPr>
            </w:pPr>
          </w:p>
          <w:p w14:paraId="67DDF93B" w14:textId="77777777" w:rsidR="002E4966" w:rsidRDefault="002E4966" w:rsidP="003A401D">
            <w:pPr>
              <w:rPr>
                <w:rFonts w:ascii="Arial" w:hAnsi="Arial" w:cs="Arial"/>
                <w:sz w:val="22"/>
                <w:szCs w:val="22"/>
              </w:rPr>
            </w:pPr>
          </w:p>
          <w:p w14:paraId="603D8D8B" w14:textId="77777777" w:rsidR="002E4966" w:rsidRPr="00A62200" w:rsidRDefault="002E4966" w:rsidP="003A401D">
            <w:pPr>
              <w:rPr>
                <w:rFonts w:ascii="Arial" w:hAnsi="Arial" w:cs="Arial"/>
                <w:sz w:val="22"/>
                <w:szCs w:val="22"/>
              </w:rPr>
            </w:pPr>
          </w:p>
        </w:tc>
      </w:tr>
      <w:tr w:rsidR="00607DA0" w:rsidRPr="001F4B39" w14:paraId="6C1377A9" w14:textId="77777777" w:rsidTr="00E30A5B">
        <w:trPr>
          <w:trHeight w:val="134"/>
        </w:trPr>
        <w:tc>
          <w:tcPr>
            <w:tcW w:w="738" w:type="dxa"/>
          </w:tcPr>
          <w:p w14:paraId="2E1D374F" w14:textId="77777777" w:rsidR="00607DA0" w:rsidRPr="003B21A3" w:rsidRDefault="00607DA0" w:rsidP="003A401D">
            <w:pPr>
              <w:rPr>
                <w:rFonts w:ascii="Arial" w:hAnsi="Arial" w:cs="Arial"/>
                <w:sz w:val="22"/>
                <w:szCs w:val="22"/>
              </w:rPr>
            </w:pPr>
          </w:p>
          <w:p w14:paraId="31DF8F11" w14:textId="77777777" w:rsidR="00607DA0" w:rsidRPr="003B21A3" w:rsidRDefault="00607DA0" w:rsidP="003A401D">
            <w:pPr>
              <w:rPr>
                <w:rFonts w:ascii="Arial" w:hAnsi="Arial" w:cs="Arial"/>
                <w:sz w:val="22"/>
                <w:szCs w:val="22"/>
              </w:rPr>
            </w:pPr>
            <w:r w:rsidRPr="003B21A3">
              <w:rPr>
                <w:rFonts w:ascii="Arial" w:hAnsi="Arial" w:cs="Arial"/>
                <w:sz w:val="22"/>
                <w:szCs w:val="22"/>
              </w:rPr>
              <w:t>4.</w:t>
            </w:r>
          </w:p>
        </w:tc>
        <w:tc>
          <w:tcPr>
            <w:tcW w:w="2946" w:type="dxa"/>
          </w:tcPr>
          <w:p w14:paraId="68804FF2" w14:textId="77777777" w:rsidR="00607DA0" w:rsidRPr="003B21A3" w:rsidRDefault="00607DA0" w:rsidP="009C70EC">
            <w:pPr>
              <w:rPr>
                <w:rFonts w:ascii="Arial" w:hAnsi="Arial" w:cs="Arial"/>
                <w:sz w:val="22"/>
                <w:szCs w:val="22"/>
              </w:rPr>
            </w:pPr>
          </w:p>
          <w:p w14:paraId="25743025" w14:textId="63E848B9" w:rsidR="006A3634" w:rsidRPr="003B21A3" w:rsidRDefault="002E4966" w:rsidP="002E4966">
            <w:pPr>
              <w:jc w:val="center"/>
              <w:rPr>
                <w:rFonts w:ascii="Arial" w:hAnsi="Arial" w:cs="Arial"/>
                <w:sz w:val="22"/>
                <w:szCs w:val="22"/>
              </w:rPr>
            </w:pPr>
            <w:r>
              <w:rPr>
                <w:rFonts w:ascii="Arial" w:hAnsi="Arial" w:cs="Arial"/>
                <w:noProof/>
                <w:sz w:val="22"/>
                <w:szCs w:val="22"/>
                <w:lang w:val="en-US"/>
              </w:rPr>
              <w:drawing>
                <wp:inline distT="0" distB="0" distL="0" distR="0" wp14:anchorId="613ACD8D" wp14:editId="0AEA7D02">
                  <wp:extent cx="1861200" cy="1080000"/>
                  <wp:effectExtent l="0" t="0" r="571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idian-villa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1200" cy="1080000"/>
                          </a:xfrm>
                          <a:prstGeom prst="rect">
                            <a:avLst/>
                          </a:prstGeom>
                        </pic:spPr>
                      </pic:pic>
                    </a:graphicData>
                  </a:graphic>
                </wp:inline>
              </w:drawing>
            </w:r>
          </w:p>
        </w:tc>
        <w:tc>
          <w:tcPr>
            <w:tcW w:w="3183" w:type="dxa"/>
          </w:tcPr>
          <w:p w14:paraId="7567CB50" w14:textId="77777777" w:rsidR="00607DA0" w:rsidRPr="003B21A3" w:rsidRDefault="00607DA0" w:rsidP="009C70EC">
            <w:pPr>
              <w:rPr>
                <w:rFonts w:ascii="Arial" w:hAnsi="Arial" w:cs="Arial"/>
                <w:sz w:val="22"/>
                <w:szCs w:val="22"/>
              </w:rPr>
            </w:pPr>
          </w:p>
          <w:p w14:paraId="29EFC508" w14:textId="7FDA0771" w:rsidR="00607DA0" w:rsidRPr="003B21A3" w:rsidRDefault="00CC7EAA" w:rsidP="00CC7EAA">
            <w:pPr>
              <w:rPr>
                <w:rFonts w:ascii="Arial" w:hAnsi="Arial" w:cs="Arial"/>
                <w:sz w:val="22"/>
                <w:szCs w:val="22"/>
              </w:rPr>
            </w:pPr>
            <w:r>
              <w:rPr>
                <w:rFonts w:ascii="Arial" w:hAnsi="Arial" w:cs="Arial"/>
                <w:sz w:val="22"/>
                <w:szCs w:val="22"/>
              </w:rPr>
              <w:t>Sect 11 Meridian Villas, Pencharz Road, Honeydew Manor ext 65</w:t>
            </w:r>
            <w:r w:rsidR="00F720F1" w:rsidRPr="003B21A3">
              <w:rPr>
                <w:rFonts w:ascii="Arial" w:hAnsi="Arial" w:cs="Arial"/>
                <w:sz w:val="22"/>
                <w:szCs w:val="22"/>
              </w:rPr>
              <w:t xml:space="preserve"> </w:t>
            </w:r>
            <w:r w:rsidR="00DE7453" w:rsidRPr="003B21A3">
              <w:rPr>
                <w:rFonts w:ascii="Arial" w:hAnsi="Arial" w:cs="Arial"/>
                <w:sz w:val="22"/>
                <w:szCs w:val="22"/>
              </w:rPr>
              <w:t xml:space="preserve"> </w:t>
            </w:r>
          </w:p>
        </w:tc>
        <w:tc>
          <w:tcPr>
            <w:tcW w:w="4320" w:type="dxa"/>
            <w:shd w:val="clear" w:color="auto" w:fill="auto"/>
          </w:tcPr>
          <w:p w14:paraId="6E669F3E" w14:textId="77777777" w:rsidR="00607DA0" w:rsidRPr="003B21A3" w:rsidRDefault="00607DA0" w:rsidP="003A401D">
            <w:pPr>
              <w:rPr>
                <w:rFonts w:ascii="Arial" w:hAnsi="Arial" w:cs="Arial"/>
                <w:sz w:val="22"/>
                <w:szCs w:val="22"/>
              </w:rPr>
            </w:pPr>
          </w:p>
          <w:p w14:paraId="71F7F778" w14:textId="0DEB979F" w:rsidR="00607DA0" w:rsidRPr="003B21A3" w:rsidRDefault="00F720F1" w:rsidP="003A401D">
            <w:pPr>
              <w:rPr>
                <w:rFonts w:ascii="Arial" w:hAnsi="Arial" w:cs="Arial"/>
                <w:sz w:val="22"/>
                <w:szCs w:val="22"/>
              </w:rPr>
            </w:pPr>
            <w:r w:rsidRPr="003B21A3">
              <w:rPr>
                <w:rFonts w:ascii="Arial" w:hAnsi="Arial" w:cs="Arial"/>
                <w:sz w:val="22"/>
                <w:szCs w:val="22"/>
              </w:rPr>
              <w:t xml:space="preserve">Lounge, Family Room, 2 Bathrooms, 3 Bedrooms, Kitchen, </w:t>
            </w:r>
            <w:r w:rsidR="00CC7EAA">
              <w:rPr>
                <w:rFonts w:ascii="Arial" w:hAnsi="Arial" w:cs="Arial"/>
                <w:sz w:val="22"/>
                <w:szCs w:val="22"/>
              </w:rPr>
              <w:t xml:space="preserve">Scullery/Laundry, </w:t>
            </w:r>
            <w:r w:rsidRPr="003B21A3">
              <w:rPr>
                <w:rFonts w:ascii="Arial" w:hAnsi="Arial" w:cs="Arial"/>
                <w:sz w:val="22"/>
                <w:szCs w:val="22"/>
              </w:rPr>
              <w:t xml:space="preserve">2 Garages. </w:t>
            </w:r>
            <w:r w:rsidR="00CC7EAA">
              <w:rPr>
                <w:rFonts w:ascii="Arial" w:hAnsi="Arial" w:cs="Arial"/>
                <w:sz w:val="22"/>
                <w:szCs w:val="22"/>
              </w:rPr>
              <w:t>179</w:t>
            </w:r>
            <w:r w:rsidRPr="003B21A3">
              <w:rPr>
                <w:rFonts w:ascii="Arial" w:hAnsi="Arial" w:cs="Arial"/>
                <w:sz w:val="22"/>
                <w:szCs w:val="22"/>
              </w:rPr>
              <w:t>m²</w:t>
            </w:r>
          </w:p>
          <w:p w14:paraId="60CA7291" w14:textId="77777777" w:rsidR="006E3D9E" w:rsidRDefault="006E3D9E" w:rsidP="003A401D">
            <w:pPr>
              <w:rPr>
                <w:rFonts w:ascii="Arial" w:hAnsi="Arial" w:cs="Arial"/>
                <w:sz w:val="22"/>
                <w:szCs w:val="22"/>
              </w:rPr>
            </w:pPr>
          </w:p>
          <w:p w14:paraId="519A1165" w14:textId="77777777" w:rsidR="002E4966" w:rsidRDefault="002E4966" w:rsidP="003A401D">
            <w:pPr>
              <w:rPr>
                <w:rFonts w:ascii="Arial" w:hAnsi="Arial" w:cs="Arial"/>
                <w:sz w:val="22"/>
                <w:szCs w:val="22"/>
              </w:rPr>
            </w:pPr>
          </w:p>
          <w:p w14:paraId="1E9A3F0A" w14:textId="77777777" w:rsidR="002E4966" w:rsidRDefault="002E4966" w:rsidP="003A401D">
            <w:pPr>
              <w:rPr>
                <w:rFonts w:ascii="Arial" w:hAnsi="Arial" w:cs="Arial"/>
                <w:sz w:val="22"/>
                <w:szCs w:val="22"/>
              </w:rPr>
            </w:pPr>
          </w:p>
          <w:p w14:paraId="1E7112F7" w14:textId="77777777" w:rsidR="002E4966" w:rsidRDefault="002E4966" w:rsidP="003A401D">
            <w:pPr>
              <w:rPr>
                <w:rFonts w:ascii="Arial" w:hAnsi="Arial" w:cs="Arial"/>
                <w:sz w:val="22"/>
                <w:szCs w:val="22"/>
              </w:rPr>
            </w:pPr>
          </w:p>
          <w:p w14:paraId="63D48C33" w14:textId="77777777" w:rsidR="002E4966" w:rsidRPr="003B21A3" w:rsidRDefault="002E4966" w:rsidP="003A401D">
            <w:pPr>
              <w:rPr>
                <w:rFonts w:ascii="Arial" w:hAnsi="Arial" w:cs="Arial"/>
                <w:sz w:val="22"/>
                <w:szCs w:val="22"/>
              </w:rPr>
            </w:pPr>
          </w:p>
        </w:tc>
      </w:tr>
      <w:tr w:rsidR="006A3634" w:rsidRPr="001F4B39" w14:paraId="1978F116" w14:textId="77777777" w:rsidTr="002E4966">
        <w:trPr>
          <w:trHeight w:val="2396"/>
        </w:trPr>
        <w:tc>
          <w:tcPr>
            <w:tcW w:w="738" w:type="dxa"/>
          </w:tcPr>
          <w:p w14:paraId="41E28741" w14:textId="77777777" w:rsidR="006A3634" w:rsidRPr="003B21A3" w:rsidRDefault="006A3634" w:rsidP="003A401D">
            <w:pPr>
              <w:rPr>
                <w:rFonts w:ascii="Arial" w:hAnsi="Arial" w:cs="Arial"/>
                <w:sz w:val="22"/>
                <w:szCs w:val="22"/>
              </w:rPr>
            </w:pPr>
          </w:p>
          <w:p w14:paraId="2A6BA201" w14:textId="77777777" w:rsidR="006A3634" w:rsidRPr="003B21A3" w:rsidRDefault="006A3634" w:rsidP="003A401D">
            <w:pPr>
              <w:rPr>
                <w:rFonts w:ascii="Arial" w:hAnsi="Arial" w:cs="Arial"/>
                <w:sz w:val="22"/>
                <w:szCs w:val="22"/>
              </w:rPr>
            </w:pPr>
            <w:r w:rsidRPr="003B21A3">
              <w:rPr>
                <w:rFonts w:ascii="Arial" w:hAnsi="Arial" w:cs="Arial"/>
                <w:sz w:val="22"/>
                <w:szCs w:val="22"/>
              </w:rPr>
              <w:t>5.</w:t>
            </w:r>
          </w:p>
        </w:tc>
        <w:tc>
          <w:tcPr>
            <w:tcW w:w="2946" w:type="dxa"/>
          </w:tcPr>
          <w:p w14:paraId="7E32CE96" w14:textId="77777777" w:rsidR="006A3634" w:rsidRPr="003B21A3" w:rsidRDefault="006A3634" w:rsidP="009C70EC">
            <w:pPr>
              <w:rPr>
                <w:rFonts w:ascii="Arial" w:hAnsi="Arial" w:cs="Arial"/>
                <w:sz w:val="22"/>
                <w:szCs w:val="22"/>
              </w:rPr>
            </w:pPr>
          </w:p>
          <w:p w14:paraId="514E6F22" w14:textId="2D483574" w:rsidR="006A3634" w:rsidRPr="003B21A3" w:rsidRDefault="002E4966" w:rsidP="002E4966">
            <w:pPr>
              <w:jc w:val="center"/>
              <w:rPr>
                <w:rFonts w:ascii="Arial" w:hAnsi="Arial" w:cs="Arial"/>
                <w:sz w:val="22"/>
                <w:szCs w:val="22"/>
              </w:rPr>
            </w:pPr>
            <w:r>
              <w:rPr>
                <w:rFonts w:ascii="Arial" w:hAnsi="Arial" w:cs="Arial"/>
                <w:noProof/>
                <w:sz w:val="22"/>
                <w:szCs w:val="22"/>
                <w:lang w:val="en-US"/>
              </w:rPr>
              <w:drawing>
                <wp:inline distT="0" distB="0" distL="0" distR="0" wp14:anchorId="463761B5" wp14:editId="7F181A4C">
                  <wp:extent cx="1620000"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us comple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183" w:type="dxa"/>
          </w:tcPr>
          <w:p w14:paraId="490A42B8" w14:textId="77777777" w:rsidR="006A3634" w:rsidRPr="003B21A3" w:rsidRDefault="006A3634" w:rsidP="009C70EC">
            <w:pPr>
              <w:rPr>
                <w:rFonts w:ascii="Arial" w:hAnsi="Arial" w:cs="Arial"/>
                <w:sz w:val="22"/>
                <w:szCs w:val="22"/>
              </w:rPr>
            </w:pPr>
          </w:p>
          <w:p w14:paraId="24E7DF41" w14:textId="12003065" w:rsidR="006A3634" w:rsidRPr="003B21A3" w:rsidRDefault="00CC7EAA" w:rsidP="00CC7EAA">
            <w:pPr>
              <w:rPr>
                <w:rFonts w:ascii="Arial" w:hAnsi="Arial" w:cs="Arial"/>
                <w:sz w:val="22"/>
                <w:szCs w:val="22"/>
              </w:rPr>
            </w:pPr>
            <w:r>
              <w:rPr>
                <w:rFonts w:ascii="Arial" w:hAnsi="Arial" w:cs="Arial"/>
                <w:sz w:val="22"/>
                <w:szCs w:val="22"/>
              </w:rPr>
              <w:t>Sect 22 Stanford, Van Dalen Road, Willowbrook ext 17</w:t>
            </w:r>
            <w:r w:rsidR="00EF4D1E" w:rsidRPr="003B21A3">
              <w:rPr>
                <w:rFonts w:ascii="Arial" w:hAnsi="Arial" w:cs="Arial"/>
                <w:sz w:val="22"/>
                <w:szCs w:val="22"/>
              </w:rPr>
              <w:t xml:space="preserve">    </w:t>
            </w:r>
          </w:p>
        </w:tc>
        <w:tc>
          <w:tcPr>
            <w:tcW w:w="4320" w:type="dxa"/>
            <w:shd w:val="clear" w:color="auto" w:fill="auto"/>
          </w:tcPr>
          <w:p w14:paraId="6E6C834C" w14:textId="77777777" w:rsidR="006A3634" w:rsidRPr="003B21A3" w:rsidRDefault="006A3634" w:rsidP="003A401D">
            <w:pPr>
              <w:rPr>
                <w:rFonts w:ascii="Arial" w:hAnsi="Arial" w:cs="Arial"/>
                <w:sz w:val="22"/>
                <w:szCs w:val="22"/>
              </w:rPr>
            </w:pPr>
          </w:p>
          <w:p w14:paraId="53F5EDC6" w14:textId="03BA6329" w:rsidR="006A3634" w:rsidRPr="003B21A3" w:rsidRDefault="006A3634" w:rsidP="003A401D">
            <w:pPr>
              <w:rPr>
                <w:rFonts w:ascii="Arial" w:hAnsi="Arial" w:cs="Arial"/>
                <w:sz w:val="22"/>
                <w:szCs w:val="22"/>
              </w:rPr>
            </w:pPr>
            <w:r w:rsidRPr="003B21A3">
              <w:rPr>
                <w:rFonts w:ascii="Arial" w:hAnsi="Arial" w:cs="Arial"/>
                <w:sz w:val="22"/>
                <w:szCs w:val="22"/>
              </w:rPr>
              <w:t xml:space="preserve">Lounge, Bathroom, </w:t>
            </w:r>
            <w:r w:rsidR="00CC7EAA">
              <w:rPr>
                <w:rFonts w:ascii="Arial" w:hAnsi="Arial" w:cs="Arial"/>
                <w:sz w:val="22"/>
                <w:szCs w:val="22"/>
              </w:rPr>
              <w:t>2</w:t>
            </w:r>
            <w:r w:rsidRPr="003B21A3">
              <w:rPr>
                <w:rFonts w:ascii="Arial" w:hAnsi="Arial" w:cs="Arial"/>
                <w:sz w:val="22"/>
                <w:szCs w:val="22"/>
              </w:rPr>
              <w:t xml:space="preserve"> Bedrooms, Kitchen, </w:t>
            </w:r>
            <w:r w:rsidR="00CC7EAA">
              <w:rPr>
                <w:rFonts w:ascii="Arial" w:hAnsi="Arial" w:cs="Arial"/>
                <w:sz w:val="22"/>
                <w:szCs w:val="22"/>
              </w:rPr>
              <w:t>Carport 71</w:t>
            </w:r>
            <w:r w:rsidR="00FB7006" w:rsidRPr="003B21A3">
              <w:rPr>
                <w:rFonts w:ascii="Arial" w:hAnsi="Arial" w:cs="Arial"/>
                <w:sz w:val="22"/>
                <w:szCs w:val="22"/>
              </w:rPr>
              <w:t>m²</w:t>
            </w:r>
          </w:p>
          <w:p w14:paraId="5AB5DB6E" w14:textId="77777777" w:rsidR="00FB7006" w:rsidRDefault="00FB7006" w:rsidP="003A401D">
            <w:pPr>
              <w:rPr>
                <w:rFonts w:ascii="Arial" w:hAnsi="Arial" w:cs="Arial"/>
                <w:sz w:val="22"/>
                <w:szCs w:val="22"/>
              </w:rPr>
            </w:pPr>
          </w:p>
          <w:p w14:paraId="1CAFA5D0" w14:textId="77777777" w:rsidR="002E4966" w:rsidRPr="003B21A3" w:rsidRDefault="002E4966" w:rsidP="003A401D">
            <w:pPr>
              <w:rPr>
                <w:rFonts w:ascii="Arial" w:hAnsi="Arial" w:cs="Arial"/>
                <w:sz w:val="22"/>
                <w:szCs w:val="22"/>
              </w:rPr>
            </w:pPr>
          </w:p>
        </w:tc>
      </w:tr>
      <w:tr w:rsidR="006A485E" w:rsidRPr="001F4B39" w14:paraId="70C6726E" w14:textId="77777777" w:rsidTr="00E30A5B">
        <w:trPr>
          <w:trHeight w:val="134"/>
        </w:trPr>
        <w:tc>
          <w:tcPr>
            <w:tcW w:w="738" w:type="dxa"/>
          </w:tcPr>
          <w:p w14:paraId="6CB85E37" w14:textId="77777777" w:rsidR="006A485E" w:rsidRDefault="006A485E" w:rsidP="003A401D">
            <w:pPr>
              <w:rPr>
                <w:rFonts w:ascii="Arial" w:hAnsi="Arial" w:cs="Arial"/>
                <w:sz w:val="22"/>
                <w:szCs w:val="22"/>
              </w:rPr>
            </w:pPr>
          </w:p>
          <w:p w14:paraId="37DF0585" w14:textId="337AE42B" w:rsidR="006A485E" w:rsidRPr="003B21A3" w:rsidRDefault="006A485E" w:rsidP="003A401D">
            <w:pPr>
              <w:rPr>
                <w:rFonts w:ascii="Arial" w:hAnsi="Arial" w:cs="Arial"/>
                <w:sz w:val="22"/>
                <w:szCs w:val="22"/>
              </w:rPr>
            </w:pPr>
            <w:r>
              <w:rPr>
                <w:rFonts w:ascii="Arial" w:hAnsi="Arial" w:cs="Arial"/>
                <w:sz w:val="22"/>
                <w:szCs w:val="22"/>
              </w:rPr>
              <w:t>6.</w:t>
            </w:r>
          </w:p>
        </w:tc>
        <w:tc>
          <w:tcPr>
            <w:tcW w:w="2946" w:type="dxa"/>
          </w:tcPr>
          <w:p w14:paraId="0C64EDF6" w14:textId="77777777" w:rsidR="006A485E" w:rsidRDefault="006A485E" w:rsidP="009C70EC">
            <w:pPr>
              <w:rPr>
                <w:rFonts w:ascii="Arial" w:hAnsi="Arial" w:cs="Arial"/>
                <w:sz w:val="22"/>
                <w:szCs w:val="22"/>
              </w:rPr>
            </w:pPr>
          </w:p>
          <w:p w14:paraId="01E39FD4" w14:textId="3A3EBB08" w:rsidR="006A485E" w:rsidRPr="003B21A3" w:rsidRDefault="002E4966" w:rsidP="002E4966">
            <w:pPr>
              <w:jc w:val="center"/>
              <w:rPr>
                <w:rFonts w:ascii="Arial" w:hAnsi="Arial" w:cs="Arial"/>
                <w:sz w:val="22"/>
                <w:szCs w:val="22"/>
              </w:rPr>
            </w:pPr>
            <w:r>
              <w:rPr>
                <w:rFonts w:ascii="Arial" w:hAnsi="Arial" w:cs="Arial"/>
                <w:noProof/>
                <w:sz w:val="22"/>
                <w:szCs w:val="22"/>
                <w:lang w:val="en-US"/>
              </w:rPr>
              <w:drawing>
                <wp:inline distT="0" distB="0" distL="0" distR="0" wp14:anchorId="1399F0E2" wp14:editId="139AB222">
                  <wp:extent cx="1828800"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villiers-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8800" cy="1080000"/>
                          </a:xfrm>
                          <a:prstGeom prst="rect">
                            <a:avLst/>
                          </a:prstGeom>
                        </pic:spPr>
                      </pic:pic>
                    </a:graphicData>
                  </a:graphic>
                </wp:inline>
              </w:drawing>
            </w:r>
          </w:p>
        </w:tc>
        <w:tc>
          <w:tcPr>
            <w:tcW w:w="3183" w:type="dxa"/>
          </w:tcPr>
          <w:p w14:paraId="759FD462" w14:textId="77777777" w:rsidR="006A485E" w:rsidRDefault="006A485E" w:rsidP="009C70EC">
            <w:pPr>
              <w:rPr>
                <w:rFonts w:ascii="Arial" w:hAnsi="Arial" w:cs="Arial"/>
                <w:sz w:val="22"/>
                <w:szCs w:val="22"/>
              </w:rPr>
            </w:pPr>
          </w:p>
          <w:p w14:paraId="5284207A" w14:textId="77777777" w:rsidR="006A485E" w:rsidRDefault="006A485E" w:rsidP="009C70EC">
            <w:pPr>
              <w:rPr>
                <w:rFonts w:ascii="Arial" w:hAnsi="Arial" w:cs="Arial"/>
                <w:sz w:val="22"/>
                <w:szCs w:val="22"/>
              </w:rPr>
            </w:pPr>
            <w:r>
              <w:rPr>
                <w:rFonts w:ascii="Arial" w:hAnsi="Arial" w:cs="Arial"/>
                <w:sz w:val="22"/>
                <w:szCs w:val="22"/>
              </w:rPr>
              <w:t>Erf 1147 Discovery ext 3</w:t>
            </w:r>
          </w:p>
          <w:p w14:paraId="147739B2" w14:textId="7D1E3C60" w:rsidR="006A485E" w:rsidRPr="003B21A3" w:rsidRDefault="006A485E" w:rsidP="009C70EC">
            <w:pPr>
              <w:rPr>
                <w:rFonts w:ascii="Arial" w:hAnsi="Arial" w:cs="Arial"/>
                <w:sz w:val="22"/>
                <w:szCs w:val="22"/>
              </w:rPr>
            </w:pPr>
            <w:r>
              <w:rPr>
                <w:rFonts w:ascii="Arial" w:hAnsi="Arial" w:cs="Arial"/>
                <w:sz w:val="22"/>
                <w:szCs w:val="22"/>
              </w:rPr>
              <w:t>6 De Villiers Street</w:t>
            </w:r>
          </w:p>
        </w:tc>
        <w:tc>
          <w:tcPr>
            <w:tcW w:w="4320" w:type="dxa"/>
            <w:shd w:val="clear" w:color="auto" w:fill="auto"/>
          </w:tcPr>
          <w:p w14:paraId="556DBEA7" w14:textId="77777777" w:rsidR="006A485E" w:rsidRDefault="006A485E" w:rsidP="003A401D">
            <w:pPr>
              <w:rPr>
                <w:rFonts w:ascii="Arial" w:hAnsi="Arial" w:cs="Arial"/>
                <w:sz w:val="22"/>
                <w:szCs w:val="22"/>
              </w:rPr>
            </w:pPr>
          </w:p>
          <w:p w14:paraId="74721E18" w14:textId="77777777" w:rsidR="006A485E" w:rsidRDefault="006A485E" w:rsidP="003A401D">
            <w:pPr>
              <w:rPr>
                <w:rFonts w:ascii="Arial" w:hAnsi="Arial" w:cs="Arial"/>
                <w:sz w:val="22"/>
                <w:szCs w:val="22"/>
              </w:rPr>
            </w:pPr>
            <w:r>
              <w:rPr>
                <w:rFonts w:ascii="Arial" w:hAnsi="Arial" w:cs="Arial"/>
                <w:sz w:val="22"/>
                <w:szCs w:val="22"/>
              </w:rPr>
              <w:t>Lounge, Family Room, 2 Bathrooms, 3 Bedrooms, Kitchen, Servants Quarters, Store Room, 2 Garages, Carport. 1185m²</w:t>
            </w:r>
          </w:p>
          <w:p w14:paraId="30B06EE6" w14:textId="77777777" w:rsidR="002E4966" w:rsidRDefault="002E4966" w:rsidP="003A401D">
            <w:pPr>
              <w:rPr>
                <w:rFonts w:ascii="Arial" w:hAnsi="Arial" w:cs="Arial"/>
                <w:sz w:val="22"/>
                <w:szCs w:val="22"/>
              </w:rPr>
            </w:pPr>
          </w:p>
          <w:p w14:paraId="7B9B33A6" w14:textId="77777777" w:rsidR="002E4966" w:rsidRDefault="002E4966" w:rsidP="003A401D">
            <w:pPr>
              <w:rPr>
                <w:rFonts w:ascii="Arial" w:hAnsi="Arial" w:cs="Arial"/>
                <w:sz w:val="22"/>
                <w:szCs w:val="22"/>
              </w:rPr>
            </w:pPr>
          </w:p>
          <w:p w14:paraId="55906B68" w14:textId="77777777" w:rsidR="002E4966" w:rsidRDefault="002E4966" w:rsidP="003A401D">
            <w:pPr>
              <w:rPr>
                <w:rFonts w:ascii="Arial" w:hAnsi="Arial" w:cs="Arial"/>
                <w:sz w:val="22"/>
                <w:szCs w:val="22"/>
              </w:rPr>
            </w:pPr>
          </w:p>
          <w:p w14:paraId="3CED258D" w14:textId="58F97148" w:rsidR="006A485E" w:rsidRPr="003B21A3" w:rsidRDefault="006A485E" w:rsidP="003A401D">
            <w:pPr>
              <w:rPr>
                <w:rFonts w:ascii="Arial" w:hAnsi="Arial" w:cs="Arial"/>
                <w:sz w:val="22"/>
                <w:szCs w:val="22"/>
              </w:rPr>
            </w:pPr>
          </w:p>
        </w:tc>
      </w:tr>
    </w:tbl>
    <w:p w14:paraId="13594ACF" w14:textId="77777777" w:rsidR="003404B0" w:rsidRPr="008201B9"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6397ADA1" w14:textId="77777777" w:rsidR="003404B0" w:rsidRDefault="003404B0" w:rsidP="00F85195">
      <w:pPr>
        <w:pStyle w:val="NoSpacing"/>
        <w:rPr>
          <w:rFonts w:ascii="Californian FB" w:hAnsi="Californian FB"/>
          <w:b/>
          <w:i/>
          <w:sz w:val="12"/>
          <w:szCs w:val="12"/>
        </w:rPr>
      </w:pPr>
    </w:p>
    <w:p w14:paraId="4CECEFCD" w14:textId="77777777" w:rsidR="003404B0" w:rsidRDefault="003404B0" w:rsidP="00BD2995">
      <w:pPr>
        <w:pStyle w:val="NoSpacing"/>
        <w:jc w:val="center"/>
        <w:rPr>
          <w:rFonts w:ascii="Californian FB" w:hAnsi="Californian FB"/>
          <w:b/>
          <w:i/>
        </w:rPr>
      </w:pPr>
    </w:p>
    <w:p w14:paraId="38B85E0B" w14:textId="2C9252E4" w:rsidR="00BD2995" w:rsidRDefault="00BD2995" w:rsidP="00BD2995">
      <w:pPr>
        <w:pStyle w:val="NoSpacing"/>
        <w:jc w:val="center"/>
        <w:rPr>
          <w:rFonts w:ascii="Californian FB" w:hAnsi="Californian FB"/>
          <w:b/>
          <w:i/>
        </w:rPr>
      </w:pPr>
    </w:p>
    <w:p w14:paraId="0482CE12" w14:textId="292848D4" w:rsidR="00EF4D1E" w:rsidRDefault="00EF4D1E" w:rsidP="00BD2995">
      <w:pPr>
        <w:pStyle w:val="NoSpacing"/>
        <w:jc w:val="center"/>
        <w:rPr>
          <w:rFonts w:ascii="Californian FB" w:hAnsi="Californian FB"/>
          <w:b/>
          <w:i/>
        </w:rPr>
      </w:pPr>
    </w:p>
    <w:p w14:paraId="097EC104" w14:textId="5EBF5B51" w:rsidR="00EF4D1E" w:rsidRDefault="00EF4D1E" w:rsidP="00BD2995">
      <w:pPr>
        <w:pStyle w:val="NoSpacing"/>
        <w:jc w:val="center"/>
        <w:rPr>
          <w:rFonts w:ascii="Californian FB" w:hAnsi="Californian FB"/>
          <w:b/>
          <w:i/>
        </w:rPr>
      </w:pPr>
    </w:p>
    <w:p w14:paraId="6E1F1A59" w14:textId="3A42C610" w:rsidR="00EF4D1E" w:rsidRDefault="00EF4D1E" w:rsidP="00BD2995">
      <w:pPr>
        <w:pStyle w:val="NoSpacing"/>
        <w:jc w:val="center"/>
        <w:rPr>
          <w:rFonts w:ascii="Californian FB" w:hAnsi="Californian FB"/>
          <w:b/>
          <w:i/>
        </w:rPr>
      </w:pPr>
    </w:p>
    <w:p w14:paraId="7E0C92C2" w14:textId="77777777" w:rsidR="00420C27" w:rsidRPr="00082389" w:rsidRDefault="00420C27" w:rsidP="00F85195">
      <w:pPr>
        <w:pStyle w:val="NoSpacing"/>
        <w:rPr>
          <w:rFonts w:ascii="Californian FB" w:hAnsi="Californian FB"/>
          <w:b/>
          <w:i/>
          <w:sz w:val="18"/>
          <w:szCs w:val="18"/>
        </w:rPr>
      </w:pPr>
      <w:bookmarkStart w:id="0" w:name="_GoBack"/>
      <w:bookmarkEnd w:id="0"/>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6A050B">
      <w:pgSz w:w="12240" w:h="15840" w:code="1"/>
      <w:pgMar w:top="142" w:right="476" w:bottom="709"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3EA0" w14:textId="77777777" w:rsidR="009D348C" w:rsidRDefault="009D348C" w:rsidP="00775FD7">
      <w:r>
        <w:separator/>
      </w:r>
    </w:p>
  </w:endnote>
  <w:endnote w:type="continuationSeparator" w:id="0">
    <w:p w14:paraId="36F2BEB1" w14:textId="77777777" w:rsidR="009D348C" w:rsidRDefault="009D348C"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ECCCD" w14:textId="77777777" w:rsidR="009D348C" w:rsidRDefault="009D348C" w:rsidP="00775FD7">
      <w:r>
        <w:separator/>
      </w:r>
    </w:p>
  </w:footnote>
  <w:footnote w:type="continuationSeparator" w:id="0">
    <w:p w14:paraId="2A477073" w14:textId="77777777" w:rsidR="009D348C" w:rsidRDefault="009D348C"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EF9"/>
    <w:rsid w:val="00144B53"/>
    <w:rsid w:val="00146A7C"/>
    <w:rsid w:val="001520AA"/>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7CF7"/>
    <w:rsid w:val="00190D4F"/>
    <w:rsid w:val="001921A6"/>
    <w:rsid w:val="00192DF4"/>
    <w:rsid w:val="00193249"/>
    <w:rsid w:val="001A051F"/>
    <w:rsid w:val="001A0739"/>
    <w:rsid w:val="001A3F74"/>
    <w:rsid w:val="001A7326"/>
    <w:rsid w:val="001B1EFB"/>
    <w:rsid w:val="001B1FF5"/>
    <w:rsid w:val="001B23F2"/>
    <w:rsid w:val="001B5B76"/>
    <w:rsid w:val="001B7E7D"/>
    <w:rsid w:val="001C1AFF"/>
    <w:rsid w:val="001C3310"/>
    <w:rsid w:val="001C3B4F"/>
    <w:rsid w:val="001C410C"/>
    <w:rsid w:val="001D0A8D"/>
    <w:rsid w:val="001D3AB1"/>
    <w:rsid w:val="001E0A78"/>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770F"/>
    <w:rsid w:val="002E028A"/>
    <w:rsid w:val="002E077C"/>
    <w:rsid w:val="002E1688"/>
    <w:rsid w:val="002E4966"/>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539F"/>
    <w:rsid w:val="00405A9B"/>
    <w:rsid w:val="0040759F"/>
    <w:rsid w:val="0041019E"/>
    <w:rsid w:val="0041058D"/>
    <w:rsid w:val="0041375E"/>
    <w:rsid w:val="00415109"/>
    <w:rsid w:val="00417515"/>
    <w:rsid w:val="00420C27"/>
    <w:rsid w:val="004241A9"/>
    <w:rsid w:val="00432D4D"/>
    <w:rsid w:val="00432DF1"/>
    <w:rsid w:val="004404E1"/>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92393"/>
    <w:rsid w:val="00692A2A"/>
    <w:rsid w:val="00692C54"/>
    <w:rsid w:val="0069360B"/>
    <w:rsid w:val="006949EA"/>
    <w:rsid w:val="006A050B"/>
    <w:rsid w:val="006A0890"/>
    <w:rsid w:val="006A10CA"/>
    <w:rsid w:val="006A3634"/>
    <w:rsid w:val="006A485E"/>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6B8"/>
    <w:rsid w:val="008E6755"/>
    <w:rsid w:val="008F1A87"/>
    <w:rsid w:val="008F1CB7"/>
    <w:rsid w:val="008F1CFE"/>
    <w:rsid w:val="008F408B"/>
    <w:rsid w:val="008F4698"/>
    <w:rsid w:val="008F78B6"/>
    <w:rsid w:val="009011B4"/>
    <w:rsid w:val="00901E95"/>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A28"/>
    <w:rsid w:val="009D0D15"/>
    <w:rsid w:val="009D348C"/>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93F"/>
    <w:rsid w:val="00A74EC3"/>
    <w:rsid w:val="00A7668F"/>
    <w:rsid w:val="00A76A9D"/>
    <w:rsid w:val="00A8030D"/>
    <w:rsid w:val="00A81465"/>
    <w:rsid w:val="00A83D4A"/>
    <w:rsid w:val="00A84CEA"/>
    <w:rsid w:val="00A87ADB"/>
    <w:rsid w:val="00A87DA2"/>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F432-7CA9-446C-AAA0-CAD758BC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2018-01-19T07:55:00Z</cp:lastPrinted>
  <dcterms:created xsi:type="dcterms:W3CDTF">2018-02-13T10:22:00Z</dcterms:created>
  <dcterms:modified xsi:type="dcterms:W3CDTF">2018-02-13T10:22:00Z</dcterms:modified>
</cp:coreProperties>
</file>